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 (Мурманск) от 26 июля 2009
</w:t>
      </w:r>
    </w:p>
    <w:p>
      <w:pPr/>
      <w:r>
        <w:rPr/>
        <w:t xml:space="preserve">Фонды экономического стимулирования. Порядок их расчета и использования на предприятиях рыбной промышленности.
Здравствуйте, Оксана. Предлагаем литературу по Вашему запросу:
Книги
65.9(2Рос-4Му)352.12кр; К85  Крюков, В. И. Повышение стимулирующей роли заработной платы в достижении высоких конечных результатов труда (на примере рыбопромыслового флота) : 08.00.07. Науч. орг. и экономика труда: Автореф. дис. на соиск. учен. степ. канд. экон. наук / В.И. Крюков ; Науч.-исслед. ин-т труда Гос. ком. СССР по труду и соц. вопр. - М., 1983. -25 с. (Бр- ХР )
65.351я73; Р69  Романов, Е. А. Экономика рыбохозяйственного комплекса России : [учеб. пособие по экон. дисциплинам для вузов и сред. проф. учеб. заведений системы рыбохоз. комплекса] / Е. А. Романов. - М.: Мир, 2005. -335 с. ил.: табл (1640984 - ЧЗ 1640985 - АБ )
88.41я73; П85  Пряжников, Н. С. Мотивация трудовой деятельности : [учебное пособие ] / Н. С. Пряжников. - Москва: Академия, 2008. -366 с. (1668092 - ЧЗ 1668093 - АБ 1668094 - АБ )
65.290.31; Ж71  Жизненный цикл малого предприятия / [Г. Ермилова и др.] ; Фонд "Либер. миссия". - Москва: Новое литературное обозрение, 2009. -335 с.: ил. (1672770 - ХР 1673180 - АБ )
Электронные ресурсы(с текстами диссертаций, авторефератов диссертаций можно поработать в Зале электронных ресурсов на 3-м этаже библиотеки):
 Селин В. А. Развитие методических подходов к формированию фонда заработной платы на предприятии [Электронный ресурс]: дисс. ... канд. экон. наук : 08.00.05/Селин В. А.  – Иркутск, 2005. – 235 с. – Режим доступа: http://sigla.rsl.ru/ регламент.	
Зав. ИБС Управления информационного обслуживания Л.Ф.Зучевская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2026-10-18T00:00:03+03:00</dcterms:created>
  <dcterms:modified xsi:type="dcterms:W3CDTF">2026-10-18T00:00:03+03:00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