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№10161 (Мурманск) от 28 марта 2018
</w:t>
      </w:r>
    </w:p>
    <w:p>
      <w:pPr/>
      <w:r>
        <w:rPr/>
        <w:t xml:space="preserve">Правильное описание: СОВРЕМЕННЫЙ РЕБЕНОК И ОБРАЗОВАТЕЛЬНОЕ ПРОСТРАНСТВО: ПРОБЛЕМЫ И ПУТИ РЕАЛИЗАЦИИ
материалы IV Всероссийской научно-практической конференции (Новокузнецк, 20-21 мая 2010 г.) : [в 2 ч.] / Новокузнецк, 2010.
Здравствуйте, Анастасия. Предлагаем Вам библиографическое описание:
Современный ребенок и образовательное пространство: проблемы и пути реализации [Текст] : материалы IV Всерос. науч.-практ. конф. (Новокузнецк, 20-21 мая 2010 г.) : [в 2 ч.]. - Новокузнецк : Кузбас. гос. пед. акад., 2010. – 2 ч.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2026-09-28T13:56:06+03:00</dcterms:created>
  <dcterms:modified xsi:type="dcterms:W3CDTF">2026-09-28T13:56:06+03:00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