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№10190 (Мурманск) от 30 марта 2018
</w:t>
      </w:r>
    </w:p>
    <w:p>
      <w:pPr/>
      <w:r>
        <w:rPr/>
        <w:t xml:space="preserve">Правильное опипание: ДЕТСКИЙ САД КАК МОДЕЛЬ РАЗВИТИЯ ЭМОЦИОНАЛЬНО-ЧУВСТВЕННОЙ СФЕРЫ РЕБЕНКА ДОШКОЛЬНОГО ВОЗРАСТА И УСЛОВИЕ ЕГО ДАЛЬНЕЙШЕГО УСПЕШНОГО И ГАРМОНИЧНОГО РАЗВИТИЯ
Барбусова О.Г.
Воспитание и обучение детей младшего возраста. 2016. № 5. С. 396-398.
Здравствуйте, Анастасия. Предлагаем Вам библиографическое описание:
Барбусова, О. Г. Детский сад как модель развития эмоционально-чувственной сферы ребенка дошкольного возраста и условие его дальнейшего успешного и гармоничного развития [Текст] / Барбусова О. Г. // Воспитание и обучение детей мл. возраста. - 2016. - № 5. - С. 396-398.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2026-09-28T12:19:58+03:00</dcterms:created>
  <dcterms:modified xsi:type="dcterms:W3CDTF">2026-09-28T12:19:58+03:00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