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/>
        <w:t xml:space="preserve">№1022 () от 11 августа 2009
</w:t>
      </w:r>
    </w:p>
    <w:p>
      <w:pPr/>
      <w:r>
        <w:rPr/>
        <w:t xml:space="preserve">Международные валютно-кредитные и финансовые отношения: Учебник/ Под. Ред. Л.Н.Красавиной. – М., 2000
Здравствуйте, Люба! Интересующая Вас книга есть в фонде нашей библиотеки:
65.58я73 ; М43 Международные валютно-кредитные и финансовые отношения : [учеб. для вузов по направлению "Экономика", специальностям "Мировая экономика" и "Финансы и кредит" / Л. Н. Красавина [и др.] ; под ред. Л. Н. Красавиной. - 2-е изд., перераб. и доп. - М. : Финансы и статистика, 2000. – 605 с. (1583254 – ТЭО ; 1583255 - ТЭО ; 1589460 – АБ ; 1589461 – АБ)
А также есть более новое издание:
65.268я73 ; М43 Международные валютно-кредитные и финансовые отношения : [учеб. для студентов высш. учеб. заведений, обучающихся по специальностям 060400 "Финансы и кредит" и 060600 "Мировая экономика" / Л. Н. Красавина [и др.] ; под ред. Л. Н. Красавиной ; Финансовая акад. при правительстве Рос. Федерации, Центр фундам. и приклад. исслед. - Изд. 3-е, перераб. и доп. – М. : Финансы и статистика, 2007. - 572 с. : ил. 
- Библиогр.: с. 563-565 и в подстроч. примеч. (1654387 – ЧЗ)
С уважением, Воложанина Т. В., главный библиограф Управления Информационного обслуживания.
Ждем Вас в нашей библиотеке!</w:t>
      </w:r>
    </w:p>
    <w:sectPr>
      <w:pgSz w:orient="portrait" w:w="11870" w:h="16787"/>
      <w:pgMar w:top="1440" w:right="1440" w:bottom="1440" w:left="1440" w:header="720" w:footer="720" w:gutter="0"/>
      <w:cols w:num="1"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zoom w:percent="100"/>
  <w:defaultTabStop w:val="708"/>
  <w:hyphenationZone w:val="425"/>
  <w:characterSpacingControl w:val="doNotCompress"/>
  <w:themeFontLang w:val="en-US"/>
  <w:decimalSymbol w:val="."/>
  <w:listSeparator w:val=";"/>
  <w:compat/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2026-10-17T23:05:11+03:00</dcterms:created>
  <dcterms:modified xsi:type="dcterms:W3CDTF">2026-10-17T23:05:11+03:00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