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№10601 (Мурманская область) от 13 сентября 2018
</w:t>
      </w:r>
    </w:p>
    <w:p>
      <w:pPr/>
      <w:r>
        <w:rPr/>
        <w:t xml:space="preserve">Помогите со списком литературы по газетной журналистике с 2000 года из вашего фонда. Спасибо!
Здравствуйте, Светлана!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76.125.1(2Рос-4Мур)кр; Г70 Городская газета организует информационную кампанию на принципах гражданской журналистики / Мурм. ассоц. журналисток ; [под ред. Н. В. Хлебниковой ; сост. Е. В. Дубинина]. – Мурманск : Милори, 2008. – 167 с. (1670096 - ХР ; 1670097 - ХР ; 1704836 - ХР ; 1704837 - ХР)
37.892я73; П58 Попов, В. В. Производство и оформление газеты / В. В. Попов, С. М. Гуревич. – Москва : Высш. шк., 1977. – 246 с. (938492 - ХР)
76.125я73; Т43 Типология периодической печати / М. Е. Аникина [и др.] ; под ред. М. В. Шкондина, Л. Л. Реснянской. – Москва : Аспект Пресс, 2009. – 234 с. (1695803 - ЦСС)
76.023; Щ40 Щекочихин, Ю. П. Три эпохи российской журналистики / Ю. П. Щекочихин. – Москва : Фак. журналистики МГУ ; Изд-во Моск. ун-та, 2010. – 371 с. (1713231 - ХР ; 1713232 - АБ)
Статьи
Закусилова, М. Немота напрокат / М. Закусилова // Журналист. – 2008. – № 4. – С. 87.
Николаева, А. Н. Речевые жанры как новый формат текстовой журналистики / А. Н. Николаева // Вестник Московского университета. Сер. 10, Журналистика. – 2010. – № 6. – С. 30-35.
Нестерова, Т. Мама мыла раму / Т. Нестерова // Журналист. – 2006. – № 8. – С. 38-39.
Нестерова, Т. Ржунимагу: теперь уже так пишут / Т. Нестерова // Журналист. – 2006. – № 9. – С. 43-44.
Тартынских, В. В. О языке средств массовой информации / В. В. Тартынских // Русская словесность. – 2013. – № 2. – С. 70-74.
Цуй, Ю. Слова-универбаты на газетной полосе / Ю. Цуй // Русский язык в школе. – 2007. – № 7. – С. 75-80.
С уважением, главный библиотекарь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2026-09-27T21:09:11+03:00</dcterms:created>
  <dcterms:modified xsi:type="dcterms:W3CDTF">2026-09-27T21:09:11+03:00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