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№10937 (Мурманск) от 31 января 2019
</w:t>
      </w:r>
    </w:p>
    <w:p>
      <w:pPr/>
      <w:r>
        <w:rPr/>
        <w:t xml:space="preserve">И ещё, тоже описание печатного источника последнего Налогового кодекса
Здравствуйте, Артем. Предлагаем Вам библиографические описания интересующего Вас:
67.402.23-32; Н23 Налоговый кодекс Российской Федерации : [НК] : части первая и вторая : по состоянию на 1 февр. 2016 г. – Москва : Проспект : КноРус, 2016. - 1019 с. - (Профессиональные юридические системы Кодекс). (1760940 - ЧЗ)
67.402.23-32; Н32 Налоговый кодекс Российской Федерации : части первая и вторая : с учетом изм., внесен. Федер. законами от 28 дек. 2016 г. № 463-Ф3, 464-Ф3, 475-Ф3 : по состоянию на 5 марта 2017 г. + сравнит. табл. изм. – Москва : Проспект, 2017. – 1037 с. : табл. (1773067 -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2026-09-27T09:35:05+03:00</dcterms:created>
  <dcterms:modified xsi:type="dcterms:W3CDTF">2026-09-27T09:35:05+03:00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