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 (Волгоградская область) от 1 октября 2009
</w:t>
      </w:r>
    </w:p>
    <w:p>
      <w:pPr/>
      <w:r>
        <w:rPr/>
        <w:t xml:space="preserve">А есть ли у вас еще статистические данные использования ветроэнергетики по Орссии за последние три года
Здравствуйте, Максим. К сожалению, статистических данных за последние три года по ветроэнергетике выявить не удалось. Предлагаем Вам ознакомиться со следующей статьей:
Дорогайкин, В. "Использование ветроэнергетики наиболее целесообразно в удаленных регионах с децентрализованным энергоснабжением" : интервью с эксперт-аналитиком отд. исслед. электроэнергетики Ин-та проблем естеств. монополий / В. Дорогайкин ; интервью взяла Е. Гришковец // Коммерсантъ. – 2007. – 13 февр. (N 22) ; То же [Электронный ресурс]. – Режим доступа: http://www.kommersant.ru/doc.aspx?DocsID=742024 (02.09.09).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2026-10-17T17:01:11+03:00</dcterms:created>
  <dcterms:modified xsi:type="dcterms:W3CDTF">2026-10-17T17:01:11+03:00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