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№11451 (Мурманск) от 12 сентября 2019
</w:t>
      </w:r>
    </w:p>
    <w:p>
      <w:pPr/>
      <w:r>
        <w:rPr/>
        <w:t xml:space="preserve">Оценка реформ Избранной Рады в современной отечественной историографии
Здравствуйте. Предлагаем Вам библиографический список:
Книга
63.211я73; С40 Сиренов, А. В. Источниковедение: учебник для академического бакалавриата / А. В. Сиренов, Е. Д. Твердюкова, А. И. Филюшкин ; под ред. А. В. Сиренова. – Москва : Юрайт, 2015. – 395 с. (1752458 - АБ)
Статья
Золотухина, Н. М. Избранная Рада: миф или действительность? / Золотухина Н. М. // История государства и права. - 2014. - № 10. - С. 9-14.
Электронные ресурсы (с текстами документов можно поработать в зале электронных ресурсов на 3-м этаже библиотеки)
Сахаров, В. А. Царь Иван Васильевич Грозный и Избранная Рада: дискуссия о судьбах русской государственности [Электронный ресурс] / В. А. Сахаров // Вестник Московского университета. Серия 21, Управление (государство и общество). - 2014. - № 4. - С. 129-152. - Режим доступа: http://elibrary.ru, регламентир. (14.09.2019).
Фатхутдинов, Р. Р. Причины роспуска Избранной Рады [Электронный ресурс] / Фатхутдинов Р. Р. // Colloquium-journal. - 2017. - № 9, ч. 1. - С. 13-14. - Режим доступа: http://elibrary.ru, регламентир. (14.09.2019).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Альшиц, Д. Н. Первый опыт перестройки государственного аппарата в России (Век шестнадцатый. Реформы Избранной Рады) / Альшиц Д. Н. // Общественное сознание, книжность, литература периода феодализма : сб. ст. / отв. ред. акад. Д. С. Лихачев. - Новосибирск, 1990. – Вып. 14. - С. 243-251.
Ирошников, Д. В. Реформы Избранной Рады и их оценка / Ирошников Д. В. // Актуальные проблемы современного права и политики : межрегион. сб. науч. тр., Рязань, 01 янв.-31 дек. 2005 г. – Рязань, 2005. - С. 90-92.
Швец, Ю. П. Крах реформ Ивана IV Грозного / Швец Ю. П. // История в подробностях. - 2010. - № 5. - С. 12-15.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2026-09-26T15:38:56+03:00</dcterms:created>
  <dcterms:modified xsi:type="dcterms:W3CDTF">2026-09-26T15:38:56+03:00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