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 () от 18 октября 2009
</w:t>
      </w:r>
    </w:p>
    <w:p>
      <w:pPr/>
      <w:r>
        <w:rPr/>
        <w:t xml:space="preserve">Влияние субъектов на объекты в рыбной отрасли
Здравствуйте, Мария. Предлагаем Вам библиографический список:
Статьи
Алексеев, А. Воздействие разведки и освоения месторождений нефти и газа на биоту морей России / А. Алексеев, Н. Осетрова, В. Пономаренко // Рыбное хозяйство. – 2002. - № 5. – С. 19-22.
Долотов, С. И. Влияние гидростроительства на воспроизводство атлантического лосося реки Тулома / С. И. Долотов // Рыбное хозяйство. - N 6. - 2007. - С. 50-54.
Матишов, Г. Г. Что воздействует на величину морских рыбных ресурсов? / Г. Г. Матишов // Вестник Российской академии наук. - 2004. - Т. 74, N 8. - С. 690-695.
Титов, О. В. О перспективах взаимодействия нефтегазовой и рыбохозяйственной отраслей промышленности на шельфе Баренцева моря / О. В. Титов, Н. Ф. Плотицина, М. А. Новиков // Рыбное хозяйство. - 2006. - N 1. - С. 81-82.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2026-10-17T14:33:43+03:00</dcterms:created>
  <dcterms:modified xsi:type="dcterms:W3CDTF">2026-10-17T14:33:43+03:00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