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№12492 (Тверская область) от 21 января 2021
</w:t>
      </w:r>
    </w:p>
    <w:p>
      <w:pPr/>
      <w:r>
        <w:rPr/>
        <w:t xml:space="preserve">Доброе утро! Я на индивидуальном информировании по данной тематике. Вчера получила новый список, он попал в спам, и совершенно случайно удалился. Прошу повторить рассылку.
Здравствуйте. Предлагаем Вам статью:
Фролова, А. С. Подготовка заявки на получение денежных субсидий на реализацию проекта в сфере культуры: типичные ошибки начинающего грантосоискателя / Фролова А. С. // Учёные записки (АГАКИ). - 2020. - №4 (26). - URL: https://cyberleninka.ru/article/n/podgotovka-zayavki-na-poluchenie-denezhnyh-subsidiy-na-realizatsiyu-proekta-v-sfere-kultury-tipichnye-oshibki-nachinayuschego (дата обращения: 20.01.2021). С уважением, главный библиограф отдела информационного обслуживания МГОУНБ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2026-09-24T20:19:55+03:00</dcterms:created>
  <dcterms:modified xsi:type="dcterms:W3CDTF">2026-09-24T20:19:55+03:00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