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№12627 (Мурманск) от 16 марта 2021
</w:t>
      </w:r>
    </w:p>
    <w:p>
      <w:pPr/>
      <w:r>
        <w:rPr/>
        <w:t xml:space="preserve">Здравствуйте! Нужен подбор литературы по теме "Учебная игра в контексте формирования метапредметных компетенций учащихся"
Здравствуйте. Предлагаем Вам библиографический список:
Статьи
Горохова, О. А. Ролевая игра как инструмент активизации познавательной деятельности учащихся на уроках истории / Оксана Александровна Горохова // Преподавание истории и обществознания в школе. - 2020. - № 1. - С. 60-65.
Шапарина, О. Н. Сочетание игровых заданий и межпредметных связей на современном уроке истории = The combination of game tasks and interdisciplinary connections in the modern history lesson / О. Н. Шапарина // Преподавание истории в школе. - 2020. - № 2. - С. 34-40.
Южакова, Н. А. Использование деловых игр на уроках истории и права / Н. А. Южакова // Преподавание истории в школе. - 2015. - № 3. - С. 66-69.
Электронные ресурсы (с текстами можно поработать в зале электронных ресурсов на 3-м этаже библиотеки
Демина, Е. В. Метапредметные интерактивные игры как средство практической реализации Федерального государственного образовательного стандарта / Демина Е. В., Рудакова О. А. // Интернет-журнал Науковедение. – 2015. – Т. 7, № 3 (28). – С. 146. – URL: https://www.elibrary.ru/item.asp?id=24321552 (дата обращения: 17.03.2021). – Режим доступа: научная электронная библиотека eLIBRARY.RU, после регистрации.
Игнатенко, А. А. Формирование метапредметных компетенций учащихся на уроке истории / Игнатенко А. А. // Современные проблемы и перспективные направления инновационного развития науки : сборник статей по итогам Международной научно-практической конференции, Оренбург, 24 декабря 2017 года : в 6 частях. – Уфа, 2017. – Ч. 4. – С. 72-74. – URL: https://www.elibrary.ru/item.asp?id=31496055 (дата обращения: 17.03.2021). – Режим доступа: научная электронная библиотека eLIBRARY.RU, после регистрации.
Котлярова, О. А. Основные этапы развития технологии активного обучения и ее апробация в системе обучения истории и обществознания / Котлярова О. А., Поваляева О. Н. // Современный ученый. – 2019. – № 4. – С. 74-79. – URL: https://www.elibrary.ru/item.asp?id=39198426 (дата обращения: 17.03.2021). – Режим доступа: научная электронная библиотека eLIBRARY.RU, после регистрации.
Кубанова, М. Н. Интеллектуальные игры как средство развития метапредметных компетенций / Кубанова М. Н., Салимурзаев Т. М. // Традиции и инновации в психологии и социальной работе : материалы III Всероссийской научно-практической конференции, Карачаевск, 23–24 октября 2020 года. – Карачаевск, 2020. – С. 95-103. – URL: https://www.elibrary.ru/item.asp?id=44325127 (дата обращения: 17.03.2021). – Режим доступа: научная электронная библиотека eLIBRARY.RU, после регистрации.
Ханжина, И. С. Развитие метапредметных компетенций у учащихся на уроках истории и обществознания / Ханжина И. С. // Наука и образование: новое время. – 2017. – № 1 (2). – С. 32-34. – URL: https://www.elibrary.ru/item.asp?id=28859123 (дата обращения: 17.03.2021). – Режим доступа: научная электронная библиотека eLIBRARY.RU, после регистрации.
Шаповалова, О. Н. Дидактический потенциал формирующего оценивания метапредметных результатов школьников: российский и зарубежный опыт / Шаповалова О. Н., Ефремова Н. Ф. // Мир науки. Педагогика и психология. – 2019. – Т. 7, № 6. – С. 78. – URL: https://www.elibrary.ru/item.asp?id=42596550 (дата обращения: 17.03.2021).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Попова, Н. Е. Формирование компетенций учащихся через игровые методы обучения / Попова Н. Е., Стрижова А. А. // Scientific review : рroceedings of the international scientific conference, Karlovy Vary - Moscow, 29–30 мая 2015 года. – Киров, 2015. – С. 364-370.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2026-09-24T15:22:26+03:00</dcterms:created>
  <dcterms:modified xsi:type="dcterms:W3CDTF">2026-09-24T15:22:26+03:00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