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 () от 23 ноября 2009
</w:t>
      </w:r>
    </w:p>
    <w:p>
      <w:pPr/>
      <w:r>
        <w:rPr/>
        <w:t xml:space="preserve">Продолжение списка:
&lt;BR&gt;
&lt;BR&gt;Клочковская Р.Д. Нравственное содержание глобальных проблем современности // Социально-философские аспекты глобальных проблем.
&lt;BR&gt;
&lt;BR&gt;Кравченко И.И. Экологическая проблема в современных теориях общественного развития.
&lt;BR&gt;
&lt;BR&gt;Прудников В.И. Человек и природа как элементы единой системы
Здравствуйте, Маргарита. В соответствии с Порядком работы ВСС "Виртуальный библиограф", если в Вашем обращении несколько вопросов, мы отвечаем на один из них. В фондах нашей библиотеки есть только одна из интересующих Вас книг: 
60.5 ; К78 Кравченко, И. И. Экологическая проблема в современных теориях общественного развития. – М. : Наука, 1982. – 214 с. (1134093)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2026-10-17T07:31:17+03:00</dcterms:created>
  <dcterms:modified xsi:type="dcterms:W3CDTF">2026-10-17T07:31:17+03:00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