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 () от 20 ноября 2007
</w:t>
      </w:r>
    </w:p>
    <w:p>
      <w:pPr/>
      <w:r>
        <w:rPr/>
        <w:t xml:space="preserve">Аналитическая характеристика библиотечного фонда Мурманской областной детско-юношеской библиотеки по направлению менеджмент
Здравствуйте, Маргарита.
К сожалению, публикаций по Вашему запросу не было. Вопрос, который Вы задаете, требует самостоятельного изучения фонда Мурманской областной детско-юношеской  библиотеки. Может, такое исследование там и проводилось, но для получения ответа Вам необходимо обратиться в данную библиотеку. Вы можете сделать это через их Виртуальную справочную службу: http://www.dipo.murman.ru/vss/ . В качестве дополнительного материала посмотрите ответ на вопрос № 174.
С уважением, 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2026-10-19T16:32:08+03:00</dcterms:created>
  <dcterms:modified xsi:type="dcterms:W3CDTF">2026-10-19T16:32:08+03:00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