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№14085 (Мурманская область) от 8 февраля 2023
</w:t>
      </w:r>
    </w:p>
    <w:p>
      <w:pPr/>
      <w:r>
        <w:rPr/>
        <w:t xml:space="preserve">Добрый день. Помогите составить список литературы по теме: "Современные подходы к формированию творческих компетенций обучающихся". Большое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Книга
74я431кр; А43 Актуальные проблемы образования в XXI веке : материалы Всероссийской научно-практической конференции, 24-26 марта 2015 года / редколлегия: Т. В. Белевских [и др.]. – Мурманск : Мурманский государственный гуманитарный университет, 2015. - 229 с. – Из содерж.:  Развитие творческих способностей у школьников на уроках технологии и в неурочное время / И. В. Перепеч. – С. 125-128. (1757562 - ХР-ООЭ 1757563 - ХР-ООЭ 1757564 - ХР-ООЭ)
Статьи
Колышева, Т. А. Рефлексивные технологии в формировании творческих компетенций будущего педагога-музыканта / Т. А. Колышева, И. А. Пецина // Вестник кафедры ЮНЕСКО "Музыкальное искусство и образование". - 2016. - № 2. - C. 35-44.
Саяпина, Н. Н. Развитие творческой компетентности будущего учителя в процессе его профессиональной подготовки / Н. Н. Саяпина, А. В. Саяпин // Коррекционная педагогика. - 2011. - № 2/3. - С. 30-33.
Толстикова, С. Н. Генезис творческой компетентности ребенка / С. Н. Толстикова, Г. Н. Травинова, Н. Ю. Падылин // Искусство и образование. - 2020. - № 6. - С. 105-110.
Чернецкая, Н. И. Интегральная концепция творческого мышления в контексте компетентностного подхода в современном образовании / Н. И. Чернецкая // Вестник педагогических инноваций. - 2010. - № 4. - С. 67-75.
Электронные ресурсы
Боровикова, А. С. Развитие творческого мышления как ключевой компетенции 21 века у учащихся начальной и средней школы / А. С. Боровикова // Инновации в образовании. – 2022. – № 3 (61). – С. 16-21. – URL: https://elibrary.ru/item.asp?id=48548219 (дата обращения: 09.02.2023). - Режим доступа: научная электронная библиотека eLIBRARY.RU, после регистрации.
Вурал, К. Педагогические основы развития творческой компетенции учащихся на уроках английского языка на межпредметной основе / К. Вурал // Ученые записки Худжандского государственного университета им. академика Б. Гафурова. Серия гуманитарно-общественных наук. – 2012. – № 3 (31). – С. 115-123. –URL:  https://elibrary.ru/item.asp?id=18173095 (дата обращения: 09.02.2023). - Режим доступа: научная электронная библиотека eLIBRARY.RU, после регистрации.
Кадол, Ф. В. Повышение творческой компетенции подрастающего поколения с помощью искусства оригами / Ф. В. Кадол, Э. М. Кушнерова // Эпоха науки. – 2021. – № 25. – С. 197-201. – URL: https://elibrary.ru/item.asp?id=45668694 (дата обращения: 09.02.2023). - Режим доступа: научная электронная библиотека eLIBRARY.RU, после регистрации.
Мамедов, И. М. Использование проблемных ситуаций на уроках физики для развития деятельностно-творческой компетенции учащихся / И. М. Мамедов // Инновационные научные исследования. – 2021. – № 4-2 (6). – С. 95-103. – URL: https://elibrary.ru/item.asp?id=46298935 (дата обращения: 09.02.2023). - Режим доступа: научная электронная библиотека eLIBRARY.RU, после регистрации.
Митенева, С. Ф. Методические аспекты формирования творческой деятельности и развития творческих способностей учащихся при обучении математике / С. Ф. Митенева // Математический вестник педвузов и университетов Волго-Вятского региона. – 2006. – № 8. – С. 250-255. – URL: https://elibrary.ru/item.asp?id=29992479 (дата обращения: 09.02.2023). - Режим доступа: научная электронная библиотека eLIBRARY.RU, после регистрации.
Томилова, С. В. Методы развития творческого мышления и творческих способностей учащихся начальной школы на примере урока окружающего мира / С. В. Томилова, Н. В. Атаманчук // Научно-методический электронный журнал "Концепт". – 2013. – № T2. – С. 77-82. – URL: https://elibrary.ru/item.asp?id=18807399 (дата обращения: 09.02.2023). -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Жандауова, Ш. Е. Развитие творческих компетенций младших школьников в рамках обновления содержания образования / Ш. Е. Жандауова, О. Р. Захарова // Профессиональные компетенции как интегральные качества личности специалиста : материалы II Международной научно-практической конференции, Шадринск, 25 марта 2020 года. – Шадринск, 2020. – С. 214-220.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2026-09-21T06:53:20+03:00</dcterms:created>
  <dcterms:modified xsi:type="dcterms:W3CDTF">2026-09-21T06:53:20+03:00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