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№14212 (Мурманск) от 28 марта 2023
</w:t>
      </w:r>
    </w:p>
    <w:p>
      <w:pPr/>
      <w:r>
        <w:rPr/>
        <w:t xml:space="preserve">Важность сохранения законности дискреционных полномочий при совершении правовых актов административными органами
Здравствуйте. Предлагаем Вам библиографический список:
Статьи
Грачева, Ю. Гарантии ограничения судейского усмотрения при применении норм с оценочными понятиями / Ю. Грачева // Законность. – 2010. – № 8. – С. 46-49.
Игнатьев, А. С. Соотношение судебного усмотрения и законности: общетеоретический подход (на примере практики Конституционного Суда РФ) / Игнатьев А. С. // Закон. – 2013. – № 7. – С. 132-141.
Пресняков, М. В. Принцип поддержания доверия к закону и защита "законных ожиданий" / М. В. Пресняков // Вестник Московского университета.  Серия : Управление (государство и общество). – 2021. – № 3. – С. 102-112.
Попова, А. В. Дискреционные полномочия прокурора при заключении досудебного соглашения о сотрудничестве в уголовном процессе России и других стран СНГ / Попова, А. В. // Законность. – 2017. – № 8. – С. 21-25.
Электронные ресурсы (с текстами можно поработать на 3-м этаже библиотеки в отделе информационного обслуживания)
Раджабова, Е. А. Конституционные основы дискреционных полномочий органов публичной власти / Е. А. Раджабова // Наукосфера. – 2021. – № 11 (2). – С. 223-226. – URL: https://elibrary.ru/item.asp?id=47540186  (дата обращения: 30.03.2023). – Режим доступа: научная электронная библиотека eLIBRARY.RU, после регистрации.
Раджабова, Е. А. Правовая институционализация дискреционных полномочий / Е. А. Раджабова // СТУДЕНТ года 2021 : сборник статей II Международного учебно-исследовательского конкурса, Петрозаводск, 15 декабря 2021 года : в 6 ч. – Петрозаводск, 2021. – Ч. 2. – С. 25-32. – URL: https://elibrary.ru/item.asp?id=47443483 (дата обращения: 30.03.2023).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2026-09-21T01:00:12+03:00</dcterms:created>
  <dcterms:modified xsi:type="dcterms:W3CDTF">2026-09-21T01:00:12+03:00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