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№14455 (Мурманск) от 21 июня 2023
</w:t>
      </w:r>
    </w:p>
    <w:p>
      <w:pPr/>
      <w:r>
        <w:rPr/>
        <w:t xml:space="preserve">Здравствуйте,  необходимо подобрать литературу по теме " Какие иностранные компании остались на рынке ( после проведения специальной военной операции) и продолжают осуществлять инвестиции в экономику страны.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Готовцева, И. И. Привлечение иностранных инвестиций в экономику России в период кризиса / И. И. Готовцева, С. Е. Гриценко // Актуальные вопросы современной экономики. – 2022. – № 12. – С. 870-877. – URL: https://elibrary.ru/item.asp?id=50348016 (дата обращения: 22.06.2023). – Режим доступа: научная электронная библиотека eLIBRARY.RU, после регистрации.
Ерохина, О. В. Функционирование и конкуренция на рынке сетевой торговли: российская специфика и роль иностранных компаний / О. В. Ерохина, Б. Н. Норбоев, А. В. Старикова // Глобальная экономика и образование. – 2022. – Т. 2, № 3. – С. 7-26. – URL: https://elibrary.ru/item.asp?id=49488882 (дата обращения: 22.06.2023). – Режим доступа: научная электронная библиотека eLIBRARY.RU, после регистрации.
Журавлев, А. В. Фундаментальный анализ компаний в период политической нестабильности и неопределенности в мире: анализ, проблемы и перспективы развития / А. В. Журавлев, Р. Т. Базаров, А. В. Данильченко // Вестник Университета управления «ТИСБИ». – 2023. – № 1. – С. 20-33. – URL: https://elibrary.ru/item.asp?id=53769578 (дата обращения: 22.06.2023). – Режим доступа: научная электронная библиотека eLIBRARY.RU, после регистрации.
Кондукторов, А. С. Правовое регулирование минимального размера обязательных инвестиций…, осуществляемых иностранной компанией при редомициляции в РФ / А. С. Кондукторов // Lex Russica (Русский закон). – 2022. – Т. 75, № 3 (184). – С. 43-52. – URL: https://elibrary.ru/item.asp?id=48156930 (дата обращения: 22.06.2023). – Режим доступа: научная электронная библиотека eLIBRARY.RU, после регистрации.
Швецов, А. В. Отечественная экономика и финансы в период СВО / А. В. Швецов, Н. К. Швецова // Вестник Марийского государственного университета. Серия: Сельскохозяйственные науки. Экономические науки. – 2022. – Т. 8, № 3 (31). – С. 349-355. – URL: https://elibrary.ru/item.asp?id=49860572 (дата обращения: 22.06.2023). – Режим доступа: научная электронная библиотека eLIBRARY.RU, после регистрации.
Шилова, М. А. Особенности коммуникативной политики отечественных и иностранных брендов на российском рынке в период проведения СВО / М. А. Шилова // Вестник Воронежского государственного университета. Серия: Филология. Журналистика. – 2022. – № 3. – С. 161-164. – URL: https://elibrary.ru/item.asp?id=49494510 (дата обращения: 22.06.2023). – Режим доступа: научная электронная библиотека eLIBRARY.RU, после регистрации.
Шин, А. Ю. Сравнительный анализ финансовой устойчивости и инвестиционной привлекательности предприятий: на примере «PEPSICO» и «Coca-Cola» / А. Ю. Шин // Наукосфера. – 2022. – № 1-2. – С. 279-285. – URL: https://elibrary.ru/item.asp?id=48122248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Климов, А. В. Анализ комплекса маркетинговых мероприятий Procter &amp; Gamble / А. В. Климов // Вопросы маркетинга и менеджмента - 2022, 17–19 мая 2022 года. – Москва, 2022. – С. 145-151.
Чжао, Д. Корпоративные инвестиции и инновации: опыт компании Huawei на российском рынке / Д. Чжао // Актуальные научные исследования : сборник статей XII Международной научно-практической конференции, Пенза, 05 июня 2023 года. – Пенза, 2023. – Ч. 3. – С. 110-114.
Также см. ответы на запросы №№ 14450, 14451, 14452, 14453, 1454 в архиве выполненных справок "Виртуального библиографа".
С уважением, специалисты отдела информационного обслуживания главный библиограф Е. В. Духно и ведущий библиотекарь Т. А. Тарабанько.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2026-09-20T16:40:55+03:00</dcterms:created>
  <dcterms:modified xsi:type="dcterms:W3CDTF">2026-09-20T16:40:55+03:00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