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№1482 (Мурманская область) от 30 января 2010
</w:t>
      </w:r>
    </w:p>
    <w:p>
      <w:pPr/>
      <w:r>
        <w:rPr/>
        <w:t xml:space="preserve">Добрый день!Подскажите, пожалуйста,если Вы не находите ответ на запрос, предоставляете ли Вы информацию тех библиотек, которые могут выполнить этот запрос или сами запрашиваете нужную информацию у других библиотек или учреждений?Выполняете ли Вы какие-либо консультации? Заранее большое спасибо!
Здравствуйте, Светлана.
При ответе на запросы наших пользователей мы используем библиографические базы данных удаленного доступа (в том числе и электронные каталоги других библиотек). Запросы, поступившие в нашу виртуальную справочную службу, мы не переадресовываем в другие библиотеки или учреждения. 
В соответствии с Порядком работы ВСС "Виртуальный библиограф" мы предоставляем информацию библиографического и фактографического характера. 
Более подробно о работе «Виртуального библиографа» смотрите в разделе «О службе».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2026-10-17T01:38:51+03:00</dcterms:created>
  <dcterms:modified xsi:type="dcterms:W3CDTF">2026-10-17T01:38:51+03:00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