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№14947 (Мурманская область) от 26 марта 2024
</w:t>
      </w:r>
    </w:p>
    <w:p>
      <w:pPr/>
      <w:r>
        <w:rPr/>
        <w:t xml:space="preserve">Здравствуйте, для написания проекта по математике (6 класс), ищем печатную либо электронную литературу по «Принципу Дирихле», которую можно получить в библиотеке.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22.161.55; К93 Курант, Р. Принцип Дирихле, конформные отображения и минимальные поверхности / Р. Курант ; перевод с английского: Б. В. Шабат. – Москва : Издательство иностранной литературы, 1953. - 311 с. : ил. (200740 - ХР)
Статьи
Вавилов, В. Принцип Дирихле / В. Вавилов // Математика в школе. - 2006. - 1-15 авг. (№ 15). - С. 39-47.
Горбунова, Ю. И. Исторические задачи в школьном курсе геометрии / Горбунова Ю. И. ; [редколлегия: Н. В. Иванчук (ответственный редактор) и др.] // Тригонон. – 2011. - Вып. 1. - С. 27-30.Из содерж.: Задачи на применение принципа Дирихле в классах углубленного изучения математики
Иванова, Е. Ю. Принцип Дирихле / Иванова Е. Ю. // Математика в школе. - 2022. - № 4. - С. 74-79.
Локшин, А. А. Обманчивое сходство / А. А. Локшин, Е. А. Иванова // Математика в школе. - 2015. - № 5. - С. 49-51. Из содерж.: Рассматриваются задачи на делимость, в которых принцип Дирихле применяется двумя существенно разными способами.
Очков, В. Ф. Цепная линия: переступить или переехать? / В. Ф. Очков, М. Ю. Шевяков, Ю. В. Чудова // Математика в школе. - 2021. - № 3. - С. 17-28.
Феоктистов, И. Е. Делимость чисел / И. Е. Феоктистов // Математика в школе. - 2009. - № 8. - С. 47-58.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2026-09-19T20:07:51+03:00</dcterms:created>
  <dcterms:modified xsi:type="dcterms:W3CDTF">2026-09-19T20:07:51+03:00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