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№15417 (Мурманская область) от 14 декабря 2024
</w:t>
      </w:r>
    </w:p>
    <w:p>
      <w:pPr/>
      <w:r>
        <w:rPr/>
        <w:t xml:space="preserve">Помогите, пожалуйста, составить описание статьи по ГОСТ: https://cyberleninka.ru/article/n/neyrotehnologii-kak-faktor-transformatsii-obrazovatelnogo-protsessa
Здравствуйте. Предлагаем Вам библиографическое описание по ГОСТ Р 7.0.100-2018 «Библиографическая запись. Библиографическое описание»:
Александрова, Л. Д. Нейротехнологии как фактор трансформации образовательного процесса / Л. Д. Александрова, Р. А. Богачева, Т. А. Чекалина, М. В. Максимова, В. И. Тимонина // Профессиональное образование и рынок труда. – 2021. – № 4 (47). – С. 98-113. – URL: https://cyberleninka.ru/article/n/neyrotehnologii-kak-faktor-transformatsii-obrazovatelnogo-protsessa (дата обращения: 17.12.2024). 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2026-09-19T00:52:57+03:00</dcterms:created>
  <dcterms:modified xsi:type="dcterms:W3CDTF">2026-09-19T00:52:57+03:00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