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 () от 7 марта 2010
</w:t>
      </w:r>
    </w:p>
    <w:p>
      <w:pPr/>
      <w:r>
        <w:rPr/>
        <w:t xml:space="preserve">Профессиональная культура как фактор компетентности руководителя на премере Мурманского педагогического колледжа
Здравствуйте, Афанасьева А. Б. Тема Вашего запроса сформулирована очень узко, требует глубокого поиска и просмотра документов de visu. 
Предлагаем литературу более общего характера: 
Статьи
Дворецкая, Г. Марка педколледжа дорогого стоит : [в т. ч. о профессионализме сотрудников пед. колледжа] / Г. Дворецкая // Мурманский вестник. – 2006. – 25 окт. – С. 2.
Чернова, Т. Музыка легла на душу : [в т. ч. о проф. деятельности композитора В. Попова, более 40 лет проработавшего в Мурм. пед. колледже учителем музыки] / Т. Чернова // Мурманский вестник. – 2009. – 14 апр. – С. 3.
С уважением, главный библиограф Отдела краеведческой и саамской литературы Пантыкина Н.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2026-10-16T20:08:23+03:00</dcterms:created>
  <dcterms:modified xsi:type="dcterms:W3CDTF">2026-10-16T20:08:23+03:00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