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 (Нижегородская область) от 12 декабря 2007
</w:t>
      </w:r>
    </w:p>
    <w:p>
      <w:pPr/>
      <w:r>
        <w:rPr/>
        <w:t xml:space="preserve">Здравстуйте, помогите подобрать литературу на вопросы "Перспективы развития в старости и успешность преодаления кризиса средних лет" и " Прикладные научные нваправления в акмеологии"
Здравствуйте, Ирина. Предлагаем список литературы по Вашему запросу:
88.37я73; Х98 Хухлаева, О. В. Психология развития: молодость, зрелость, старость : [учеб. пособие для вузов / О. В. Хухлаева. - М. : Академия, 2002. – 202с. (1615456)
28.903,7; А46 Александрова, М. Д.  Проблемы социальной и психологической геронтологии / М. Д. Александрова ; Ленингр. гос. ун-т им. А.А. Жданова. - Л. : Изд-во Ленингр. ун-та, 1974. - 135 с. (813050)
88.37я7; В64  Возрастная психология: личность от молодости до старости : учеб. пособие по курсу "Возраст. психология" / М. В. Гамезо, В. С.Герасимова, Г. Г. Горелова, .М. Орлова. - М. : Пед. о-во России : Изд. Дом "Ноосфера", 1999. - 269 с.(1575141)
88.37; П86 Психология возрастных кризисов : хрестоматия / сост. К. В. Сельченок. - Минск : Харвест, 2000. - 557 с. ( 1592540 )
88.4; К59  Козлов, В. В. Работа с кризисной личностью : метод. пособие / Владимир Козлов. - М. : Изд-во Ин-та Психотерапии, 2003. - 300 с. (1626718 )
По правилам в одном сообщении принимается только один вопрос. Если в Вашем обращении несколько вопросов, мы отвечаем лишь на один из них по нашему усмотрению. Второй вопрос по акмеологии подробно рассмотрен в статье:
Базылевич, Т. Ф. Линии преемственности комплексного и системного подхода в дифференциальной акмеологии / Т. Ф. Базылевич // Мир психологии. - 2006. - N 3. - С. 203-211.
С уважением, гл. библиограф Л. Ф. Зубчевская.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2026-10-19T14:33:10+03:00</dcterms:created>
  <dcterms:modified xsi:type="dcterms:W3CDTF">2026-10-19T14:33:10+03:00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