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№16412 (Мурманск) от 15 октября 2026
</w:t>
      </w:r>
    </w:p>
    <w:p>
      <w:pPr/>
      <w:r>
        <w:rPr/>
        <w:t xml:space="preserve">Каким документом в настоящее время установлен порядок подачи жалобы о восстановлении трудовых прав гражданина в Европейский суд по правам человека,комитет по правам человека ООН, Европейской комиссии прав человека Совета Европы, международной организации труда ООН.
Здравствуйте. 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2026-10-18T16:59:00+03:00</dcterms:created>
  <dcterms:modified xsi:type="dcterms:W3CDTF">2026-10-18T16:59:00+03:00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