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№1718 (Мурманск) от 5 апреля 2010
</w:t>
      </w:r>
    </w:p>
    <w:p>
      <w:pPr/>
      <w:r>
        <w:rPr/>
        <w:t xml:space="preserve">Здравствуйте! Помогите найти материал к теме: Важнейшие философские концепции соотношения личности и объективных факторов в истории. Спасибо большое!
Здравствуйте, Диана. Предлагаем следующие издания:
Книги
87.6я73 ; Г85 Гринин, Л. Е. Философия и социология истории: некоторые закономерности истории человечества : (опыт филос.-социол. анализа всемир.-ист. процесса) : пособие для студентов / Л. Е. Гринин. - Волгоград : Учитель, 1995. - 1996. - 127 с. (1539144 – ХР; 1547690 – ЧЗ; 1550850 – АБ; 1550851 – АБ; 1550852 – АБ)
60.0я73 ; Г85 Гринин, Л. Е. Философия, социология и теория истории : опыт филос.-социол. анализа некоторых обществ. законов и построения теории всемир.-ист. процесса : пособие для студентов / Л. Е. Гринин. - Изд. 4-е, стер. – М. : URSS : КомКнига, 2007. - 351 с. (1649476 – ЧЗ)
87.71 ; З-19 Закондырин, Е. В. Нравственная ответственность личности : из истории рус. филос. мысли / Е. В. Закондырин. - Мурманск : НИЦ "Пазори", 1997. – 118 с. (1559254 – ХР) 
63.3(0)5 ; М64 Миронов, В. Б. Народы и личности в истории : очерки по истории рус. и мировой культур : [в 3 т.] / В. Б. Миронов. - М. : Звонница-МГ, 2000. – 3 т. (Т. 1 - 1595354 – ХР; Т. 2 - 1595355 – ХР; Т. 3 - 1595356 – ХР)
Статьи
Розин, В. М. Единство истории и философии как проблема культурологии / В. М. Розин // Личность. Культура. Общество. - 2008. - Т. 10, вып. 3/4. - С. 97-106.
Чесноков, Г. Д. Философское понимание исторического развития / Г. Д. Чесноков // Социально-гуманитарные знания. - 2005. - N 3. - С. 87-104.
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2026-10-16T15:32:51+03:00</dcterms:created>
  <dcterms:modified xsi:type="dcterms:W3CDTF">2026-10-16T15:32:51+03:00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