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№1745 (Мурманск) от 10 апреля 2010
</w:t>
      </w:r>
    </w:p>
    <w:p>
      <w:pPr/>
      <w:r>
        <w:rPr/>
        <w:t xml:space="preserve">Частная собственность и её роль в формировании конкурентно-рыночных отношений.
См. в Архиве выполненных справок "Виртуального библиографа" ответ на запрос N 1847.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2026-10-16T14:03:30+03:00</dcterms:created>
  <dcterms:modified xsi:type="dcterms:W3CDTF">2026-10-16T14:03:30+03:00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