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№1820 () от 7 мая 2010
</w:t>
      </w:r>
    </w:p>
    <w:p>
      <w:pPr/>
      <w:r>
        <w:rPr/>
        <w:t xml:space="preserve">Пожалуйста, помогите подобрать материал по вопросу: радиационные объекты Мурманской области. Для подготовки к экзамену
Здравствуйте, Ольга. Предлагаем Вам библиографический список:
Книги   
20.1кр ; М74 Моделирование возможных экологических последствий от объектов радиационного риска в Европейской Арктике  = Modelling of possible environmental consequences from the radiation risk objects in the European arctic / А. А. Бакланов [и др. ; науч. ред. А. А. Бакланов] ; Рос. акад. наук, Кол. науч. центр, Ин-т проблем пром. экологии Севера. - Апатиты : Кол. науч. центр РАН, 2006. - 164 с. : ил. (1641462 – ХР)
31.4 ; Р76 Российская атомная промышленность: необходимость реформ : докл. об-ния Bellona N 4 - 2004 / Игорь Кудрик [и др.]. - СПб. [и др.] : Об-ние Bellona, [2005?]. - 207 с. : ил. (1636229 – ХР)
Статьи
Киричев И. А. Цели и задачи PR предприятий, в ведении которых находятся радиационно-опасные объекты / И. Киричев // Вестник "Социума". - 2006. - N 1 (64). - С. 32-36.
Марарица, В. Доклад "Земля Кольская: атом и будущее" / В. Марарица // Вестнник "Социума". - 2006. - N 1. - С. 5-19.
Морозов, С. В. Информационная система по объектам радиационного риска / С. В. Морозов, В. В. Кошкин // Наука и бизнес на Мурмане. - 2005. - N 1 (февр.). - С. 5-8.
Пантелеев, В. Н. Обзор проектов, выполняющихся в области обращения с РАО и повышения безопасности объектов и площадок / В. Н. Пантелеев // Вестник "Социума". - 2006. - N 1 (64). - С. 58-63.
Тихонов, М. Н. Комплексная оценка ядерно-радиационного наследия России / М. Н. Тихонов, М. И. Рылов // Проблемы окружающей среды и природных ресурсов. - 2007. - N 3. - С. 92.
Дополнительную информацию Вы можете получить в отделе краеведческой и саамской литературы на 4-м этаже библиотеки или в Зале каталогов на 3-м  этаже.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2026-10-16T11:56:27+03:00</dcterms:created>
  <dcterms:modified xsi:type="dcterms:W3CDTF">2026-10-16T11:56:27+03:00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