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№1850 () от 23 мая 2010
</w:t>
      </w:r>
    </w:p>
    <w:p>
      <w:pPr/>
      <w:r>
        <w:rPr/>
        <w:t xml:space="preserve">Здравствуйте!
&lt;BR&gt;Подскажите, пожалуйста,есть ли у Вас статья Северного А.А.,Иовчука Н.М. "Социум как пусковой фактор реализации конституциональных и патологических предрасположений к отклоняющемуся поведению детей и подростков"(Социальная дезадаптация:нарушение поведения детей и подростков.-М.,1996)
Здравствуйте, Александра. К сожалению, в фондах нашей библиотеки нет интересующей Вас статьи.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Северный, А. А. Социум как пусковой фактор реализации конституциональных и патологических предрасположений к отклоняющемуся поведению детей и подростков / Северный А. А., Иовчук Н. М. // Социальная дезадаптация: нарушения поведения у детей и подростков : материалы Рос. науч.-практ. конф. (Москва, 26-28 нояб. 1996 г.). - М. : Изд. Дом "Грааль", 1996. - С. 15-21.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2026-10-16T10:21:08+03:00</dcterms:created>
  <dcterms:modified xsi:type="dcterms:W3CDTF">2026-10-16T10:21:08+03:00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