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№1941 () от 10 августа 2010
</w:t>
      </w:r>
    </w:p>
    <w:p>
      <w:pPr/>
      <w:r>
        <w:rPr/>
        <w:t xml:space="preserve">Здравствуйте! Помогите, пожалуйста, найти литературу по теме: "эсхатология в русской общественной мысли"
Здравствуйте, Юрий! Предлагаем Вам следующее издания: 
Книги:
87.8 ; Б95 Бычков, В. В. Русская теургическая эстетика / В. В. Бычков. - М. : Ладомир, 2007. - 737 с. (1653890 - ХР; 1655624 - ЧЗ) 
83.3(2=Рус)6 ; К30 Кацис, Л. Ф. Русская эсхатология и русская литература / Л. Ф. Кацис. - М. : Объед. гуманитар. изд-во, 2000. - 655 с. (М-1598919 - ХР). 
87.3(2) К78 Красицкий, Я. Бог, человек и зло : исследование философии Владимира Соловьева / Ян Красицкий. - М. : Прогресс-Традиция, 2009. - 447 с. 
(1687196 - ХР)
87.3(2) ; Ш51 Шестаков, В. П. Эсхатология и утопия. - М. : Гуманит. изд. центр "ВЛАДОС", 1995. - 205 с. (1542570 - ХР). 
83.3(2=Рус) ; Э73 Эпштейн, М. Н. Слово и молчание : метафизика русской литературы / М. Н. Эпштейн. - М. : Высшая школа, 2006. - 558 с. (1647625 - ХР) 
Статьи:
Брода, М. "Неузнанный феномен" Константина Леонтьева / М. Брода // Вопросы философии. - 2006. - N 7. - С. 129-140.
Плимак, Е. Г. "Русская идея" Николая Бердяева как наследие русской интеллигенции? / Е. Г. Плимак, Т. А. Сабурова // Вопросы философии. - 2006. - N 9. - С. 84-101.
Тяпин, И. Н. Эсхатологический характер философии истории Л. А. Тихомирова / И. Н. Тяпин // Вестник Санкт-Петербургского университета. Сер. 6, Философия, политология, социология, психология и право. - 2008. - Вып. 4. - С. 242-249.
Главный библиограф Центральной справочной службы Яловенко Л. В.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2026-10-16T06:44:36+03:00</dcterms:created>
  <dcterms:modified xsi:type="dcterms:W3CDTF">2026-10-16T06:44:36+03:00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