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№2178 () от 29 ноября 2010
</w:t>
      </w:r>
    </w:p>
    <w:p>
      <w:pPr/>
      <w:r>
        <w:rPr/>
        <w:t xml:space="preserve">Как определяются результаты референдума Российской Федерации?
Здравствуйте, Татьяна. В соответствии с Порядком работы ВСС «Виртуальный библиограф» мы не выполняем работу за пользователей. Предлагаем издания, которые помогут Вам ее выполнить:
Книги
67.400.82-32; Б82 Борисов, А. Н. Комментарий к Федеральному закону от 12 июня 2002 г. № 67-ФЗ "Об основных гарантиях избирательных прав и права на участие в референдуме граждан Российской Федерации" : (в ред. Федер. законов от 27 сент. 2002 г. № 119-ФЗ [и др.]) : (постатейный) / А. Н. Борисов. – М. : Юстицинформ, 2007. - 799 с. (1653381 - ХР 
67.400я73; Ч-65 Чиркин, В. Е. Конституционное право России : учебник / В. Е. Чиркин ; Ин-т государства и права РАН. - 6-е изд., перераб. и доп. – М. : НОРМА, 2009. - 495 с. (1683367 - ХР 1683368 - ЧЗ 1683369 - АБ) 
Электронный ресурс (с текстом документа можно поработать в Залах каталогов и электронных ресурсов на 3-м этаже библиотеки)
Об основных гарантиях избирательных прав и права на участие в референдуме граждан Российской Федерации [Электронный ресурс] : ФЗ-№ 67 от 12 июня 2002 г. (ред. от 04.10.2010. - Электрон. дан. – [М.] : КонсультантПлюс, 2010. – Режим доступа: СПС «КонсультантПлюс». 
См. также в Архиве выполненных справок «Виртуального библиографа» ответ на запрос N 2290.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2026-10-15T19:39:16+03:00</dcterms:created>
  <dcterms:modified xsi:type="dcterms:W3CDTF">2026-10-15T19:39:16+03:00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