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№2179 () от 29 ноября 2010
</w:t>
      </w:r>
    </w:p>
    <w:p>
      <w:pPr/>
      <w:r>
        <w:rPr/>
        <w:t xml:space="preserve">Юридические свойства Конституции?
Здравствуйте, Татьяна! Предлагаем Вам библиографический список:
Книги
67.400я73; К59 Козлова, Е. И. Конституционное право России : учебник : [для студентов высш. учеб. заведений, обучающихся по специальности "Юриспруденция"] / Е. И. Козлова, О. Е. Кутафин ; М-во образования и науки Рос. Федерации, Моск. гос. юрид. акад. - 4-е изд., перераб. и доп. – М. : Проспект : ТК Велби, 2008. - 603 с. ; То же [Электронный ресурс]. – Режим доступа: СПС «КонсультантПлюс». (1662163 - ХР 1662164 - ЧЗ 1663426 - АБ) 
67.400.11(2Рос); Н34 Научно-практический комментарий к Конституции Российской Федерации / [Арзамасов Ю. Г. и др.] ; отв. ред. В. В. Лазарев ; [Федер. палата адвокатов Рос. Федерации, Науч.-консультатив. совет]. - 4-е изд., доп. и перераб. – М. : Юрайт, 2009. - 871 с. (1684181 - ЧЗ 1684182 - АБ)
67.400я73; М69 Михалева, Н. А. Конституционное право зарубежных стран СНГ : учеб. пособие / Н. А. Михалева. - М. : Юристъ, 1999. - 349 с. – Из содерж.: Гл. 3, § 2. Основные черты и юридические свойства конституций зарубежных стран СНГ. (1584820 - ЧЗ 1584821 – АБ)
Статьи
Кравец, И. А. Верховенство конституции - принцип конституционализма / И. А. Кравец // Журнал  российского  права. - 2002. - N 7. - С. 15-26.
Осипян, С. А. Политико-правовой аспект теории российского конституционализма / С. А. Осипян // Российская юстиция. - 2008. - N 8. - С. 2-8.
Электронные ресурсы
Авакьян, С. А. Конституция России: природа, эволюция, современность [Электронный ресурс] / С. А. Авакьян. – Электрон. дан. -  М. : Сашко, 2000. – Из содерж.:  Гл. 1.5 Юридические свойства Конституции. - Режим доступа: СПС «Гарант».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2026-10-15T19:39:55+03:00</dcterms:created>
  <dcterms:modified xsi:type="dcterms:W3CDTF">2026-10-15T19:39:55+03:00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