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№2194 () от 3 декабря 2010
</w:t>
      </w:r>
    </w:p>
    <w:p>
      <w:pPr/>
      <w:r>
        <w:rPr/>
        <w:t xml:space="preserve">Вторая Республика во Франции.Конституция 1848 г.
Здравствуйте! К сожалению, в тех электронных ресурсах, с которыми работает наша библиотека, информации на эту тему мало. Предлагаем Вам список литературы:
Книги
67.3(0)я73; Г78 Графский, В. Г. Всеобщая история права и государства : учеб. для вузов [по специальности "Юриспруденция"] / В. Г. Графский. - М. : Норма : ИНФРА-М, 2001. - ХIV, 730 с. (1600739 - ХР 1600740 - ЧЗ 1600741 - АБ)
9(И4); З-36 Застенкер, Н. Революция 1848 года / Н. Застенкер. – М. : Учпедгиз, 1948. – 204 с. (91425-ХР)
67.3(0)я73; И90 История государства и права зарубежных стран : учеб. для студентов юрид. вузов и фак. / под общ. ред. О. А. Жидкова, Н. А. Крашенинниковой. - 2-е изд., стер. - М. : Норма : Инфра-М. - 2000.  
Ч. 2. - 703 с. (1589858 - ЧЗ)
63.3(4Фра)524; Л72 Лозинский, С. Г. История Второй французской республики / С. Лозинский. – Киев : издание В. И. Рапп и В. И. Потапова, 1904. - 544  с. (Р-1672940 - ХР)
9(С); С55 Собуль, А. Из истории Великой буржуазной революции 1789-1794 гг. и революции 1848 года во Франции / А. Собуль. - М. : Изд-во иностран. лит., 1960. – 372 с. (381045)
Электронный ресурс (с электронной копией статьи можно поработать в Залах каталогов и электронных ресурсов на 3-м этаже библиотеки)
Трайнин, И. Конституции Франции [Электронный ресурс] / И. Трайнин // Борьба классов. – Электрон. дан. - 1936. - N 10. – С. 22-35. – Режим доступа: http://dlib.eastview.com/browse/doc/7938062, регламентир. (07.12.2010).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2026-10-15T18:45:40+03:00</dcterms:created>
  <dcterms:modified xsi:type="dcterms:W3CDTF">2026-10-15T18:45:40+03:00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