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№2308 (Мурманск) от 18 января 2011
</w:t>
      </w:r>
    </w:p>
    <w:p>
      <w:pPr/>
      <w:r>
        <w:rPr/>
        <w:t xml:space="preserve">Опыт работы библиотек Белгородской области по комплектованию и использованию Единого фонда ЦБС.
Здравствуйте. Предлагаем Вам издания из фондов нашей библиотеки, которые можно заказать через межбиблиотечный абонемент:
Книги
78.34(2)75; Б59 Библиотечная жизнь Белгородчины : [сборник] / Белгор. гос. универс. науч. б-ка. Науч.-метод. отдел. - Белгород : БИЦ БГУНБ, 1998 -    . 
Вып. 2 (2). - 1998. - 75, [1] с. : ил. + 1 отд. л. схем. - Из содерж.: Библиотечные фонды ЦБС Белгородской области: проблемы комплектования / Н. И. Коваленко. - С. 15-20. (Бр – НМО)
Вып. 2 (12). - 2001. - 98 с. : ил. - Из содерж.: Методические рекомендации по организации секторов литературы на иностранных языках в области / Т. В. Кононова. - С. 22-40. (1597168- НМО)
Вып. 1 (23). – 2004. - 103 с. : ил. - Из содерж.: Быть или не быть отделам организации и использования единого фонда ЦБС / Н. И. Коваленко. - С. 19-22 ; Анализ состава и использования книжного фонда отдела литературы на иностранных языках Белгородской государственной универсальной научной библиотеки / Т. В. Кононова, В. В. Фатеева. - С. 23-27. (1624725 - НМО)
Статьи
Бойченко, Е. Н. Использование фонда отраслевых периодических изданий : (на примере отдела произв. лит. Белгор. гос. универс. науч. б-ки) / Е. Н. Бойченко // Научные и технические библиотеки. - 2007. - N 4. - С. 65-76.- Библиогр.: с. 75-76 (30 назв.).
Бойченко, Е. Н. Периодические издания по техническим наукам в Интернете: доступность электронных ресурсов / Е. Н. Бойченко // Научные и технические библиотеки. - 2009. - N 5. - С. 31-45. - Библиогр.: с. 44-45 (7 назв.).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2026-10-14T21:42:40+03:00</dcterms:created>
  <dcterms:modified xsi:type="dcterms:W3CDTF">2026-10-14T21:42:40+03:00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