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№2389 () от 10 февраля 2011
</w:t>
      </w:r>
    </w:p>
    <w:p>
      <w:pPr/>
      <w:r>
        <w:rPr/>
        <w:t xml:space="preserve">Здраствуйте, помогите пожалуйста с подбором литературы для работы по теме:"Библия, ее структура и влияние на развитие философии". Заранее спасибо.
Здравствуйте, Александра! Предлагаем следующие издания: 
Книги
86.37 ; Б86 Боттеро, Ж. Рождение Бога : библия через призму истории / Ж. Боттеро. – М. : Форум : Нота бене, 1998. – 245 с. (1575637 – ХР; 1587768 – ЧЗ; 1587769 – АБ) 
86.37 ; К34 Келлер, В. Библия как история / В. Келлер. - М. : Крон-пресс, 1998. – 469 с.(1564804 – ХР; 1572501 – ЧЗ) 
86.2я73 ; Н19 Назаров, В. Н. Введение в теологию : [учеб. пособие для вузов] / В. Н. Назаров. - М. : Гардарики, 2004. - 319 с. (1631188 – ХР; 1631189 – ЧЗ; 1631190 – АБ)
Статьи
Бобринской, П. А. С флейтой и Библией... : старчик Григорий Сковорода. Жизнь и учение / граф Петр Бобринской // Духовно-нравственное воспитание. - 2010.- N 2. - С. 29-37.
Бог Всемогущий / подготовил А. Боголюбов // Православная беседа. - 2009. - N 6. - С. 98-101.
Максим. Избранные толкования из Ambigua / Максим Исповедник // Вестник древней истории. - 2006. - N 3. - С. 235-250.
Розин, В. М. [Рецензия] / В. М. Розин // Вопросы философии. - 2006. - N 3. - С. 189-190. - Рец. на кн.: Феноменология жизни. Ветхий Завет и первые христиане / Кирсберг И. В. - М. : Древлехранилище, 2003. - 172 с.
Сюэй. Смысл "библейской философии" у Льва Шестова / Сюэй Фэнлинь // Вопросы философии. - 2007. - N 5. - С. 80-84.
Штеренберг, М. И. О направлении и цели исторического процесса / М. И. Штеренберг // Философские науки. - 2002. - N 6. - С. 5-26.
См. также в Архиве выполненных справок «Виртуального библиографа» ответы на запросы NN 1465, 2441.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2026-10-14T17:49:56+03:00</dcterms:created>
  <dcterms:modified xsi:type="dcterms:W3CDTF">2026-10-14T17:49:56+03:00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