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№2450 () от 27 февраля 2011
</w:t>
      </w:r>
    </w:p>
    <w:p>
      <w:pPr/>
      <w:r>
        <w:rPr/>
        <w:t xml:space="preserve">Помогите,пожалуйста,подобрать материал для написания контрольной работы по теме: "Национально-освободительное движение в Индии в 1930-е гг."
Здравствуйте, Екатерина. Предлагаем Вам библиографический список:
Книги
63.3(5Инд) ; А72 Антонова, К. А. История Индии / К. А. Антонова, Г. М. Бонгард-Левин, Г. Г. Котовский. - М. : Мысль, 1979. - 608 с. (1035211 - ХР; 1037864 - ЧЗ; 1040426 - АБ; 1150268 - АБ; 1547771 - АБ) 
63.3(5) ; С38 Синха, Н. К. История Индии / Н. К. Синха, А. Ч. Банерджи. - М. : Изд-во иностр. лит., 1954. - 440 с. (Ф-246131 - ХР; Ф-1482214 - АБ; Ф-1586082 - АБ) 
63.3(5) ; Х29 Хашимов, И. М. Деятельность Индийского национального конгресса и региональных общественных организаций Индии (конец XIX-нач. XX в.) / И. М. Хашимов, М. М. Кутина. - Ташкент : Фан, 1988. - 280 с. (1352797 - ХР) 
Статьи
Аптон, Р. Утраченная жемчужина / Р. Аптон // Вокруг света. - 2007. - N 8. - С. 166-180.
Бабаян, Д. К. Поднебесная и Центральная Азия: основные цели и направления китайской политики в регионе / Д. Бабаян // Свободная мысль. - 2006. - N 11/12. - С. 40-58.
Сивков, А. В. Взаимодействие политической идеологии и политического действия (на примере индийского национально-освободительного движения) / А. В. Сивков // Преподавание истории в школе. - 2010. - N 5. - С. 74-76.
Щедрина, А. М. Опыт Махатмы Ганди в свете проблем антикризисного управления / А. М. Щедрина // Вестник Московского университета. Сер. 21, Управление (государство и общество). - 2010. - N 4. - С. 33-58.
Яковлева, Е. Я. Эволюция гандистских движений в независимой Индии в период становления национальной государственности / Е. Я. Яковлева // Вопросы истории. - 2007. - N 6. - С. 127-137. 
См. также ответ на вопрос N 974.
С уважением Яловенко Л. В., главный библиограф Центральной справочной службы.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2026-10-14T14:55:04+03:00</dcterms:created>
  <dcterms:modified xsi:type="dcterms:W3CDTF">2026-10-14T14:55:04+03:00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