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№252 (Мурманск) от 12 марта 2008
</w:t>
      </w:r>
    </w:p>
    <w:p>
      <w:pPr/>
      <w:r>
        <w:rPr/>
        <w:t xml:space="preserve">Исламские банки и особенности из деятельности в современных условиях
Уважаемая Елена, предлагаем список литературы по теме Вашего диплома:
Кочетков, Р. В. Великобритании открывается исламский банк / Родион Кочетков // Эхо планеты. - 2004. - N 33. - С. 4.
Исаев, В.  Мудараба : опыт исламских банков / Владимир Исаев // Родина. - 2005. - N 5. - С. 50-53.
Шихахмедов, Р.  Г. Современные подходы к типологизации банковских систем и видов банков / Р. Г. Шихахмедов // Финансы и кредит. - 2005. - N 20. - С. 71-79.
"Россия и Исламский мир - проблемы, предпосылки и  перспективы долгосрочного взаимодействия",круглый стол.  Стенограмма "круглого стола" на тему "Россия и Исламский мир - проблемы, предпосылки и перспективы долгосрочного взаимодействия" // Безопасность Евразии. - 2005. - N 2. - С. 349-373.
Галкина, И.    Мурабаха для России / Ирина Галкина // Эксперт. - 2006. - N 38. - С. 64-65.
Серебряков, И. П.  Альтернативное регулирование банковских сделок - исламский подход / И.П. Серебряков // Юрид. мир. - 2002. - N 2. - С. 32-36.
Беккин, Р.  И. Особенности функционирования исламских финансовых институтов: российский опыт / Р.  И. Беккин // Вестн. С.-Петерб. ун-та. Сер. 8. Менеджмент. - 2006. - N 2. - С. 168-192.
Бакланова, Е.  Эволюция банковской системы Саудовской Аравии / Е. Бакланова // Азия и Африка сегодня. - 2007. - N 7. - С. 54-57.
Беккин, Р.   Механизмы финансирования в исламском банковском деле / Р.Беккин // Банковское дело. - 2007.  - N 9. - С. 79-83.    Окончание. Начало в N 8 - С. 93-96
Коровяковский, Д. Г.  Правовые и экономические аспекты международного кредитования в современных условиях (функционирование международных
кредитных организаций) / Д. Г. Коровяковский // Финансы и кредит. - 2007. - N 13. - С. 5-11.   Продолж. следует.
Гл. библиограф Л. Ф. 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2026-10-19T11:06:50+03:00</dcterms:created>
  <dcterms:modified xsi:type="dcterms:W3CDTF">2026-10-19T11:06:50+03:00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