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№2785 () от 25 мая 2011
</w:t>
      </w:r>
    </w:p>
    <w:p>
      <w:pPr/>
      <w:r>
        <w:rPr/>
        <w:t xml:space="preserve">бюджетная политика правительства Мурманской области в области здравоохранения и физической культуры
&lt;BR&gt;
&lt;BR&gt;Основные направления развития физической культуры в Мурманской области на период до 2020 года
&lt;BR&gt;
Здравствуйте, Александра. В соответствии с Порядком работы ВСС "Виртуальный библиограф", если в Вашем обращении несколько вопросов, мы отвечаем на один из них. 
Предлагаем Вам библиографический список по теме «Основные направления развития физической культуры в Мурманской области на период до 2020 года»:
О долгосрочной целевой программе "Развитие физической культуры и спорта в Мурманской области" на 2011 - 2014 годы [Электронный ресурс] : постановление Правительства Мурм. обл. от 15 сент. 2010 N 421-ПП/14 (ред. от 10 февр. 2011). - Электрон. дан. - М., 1992-2011. - Режим доступа: СПС «КонсультантПлюс».
О физической культуре и спорте в Мурманской области [Электронный ресурс] : закон Мурм. обл. от 27 дек. 2010 N 1297-01-ЗМО. - Электрон. дан. - М., 1992-2011. - Режим доступа: СПС «КонсультантПлюс».
Об областных стандартах качества государственных услуг в области физической культуры и спорта, предоставляемых за счет средств областного бюджета населению Мурманской области [Электронный ресурс] : постановление Правительства Мурм. обл. от 15 июля 2009 N 318-ПП. - Электрон. дан. - М., 1992-2011. - Режим доступа: СПС «КонсультантПлюс».
Ответ на 1 вопрос см. в Архиве выполненных справок «Виртуального библиографа» под N 2903.
Дополнительную информацию Вы можете получить в Отделе краеведческой и саамской литературы.
С уважением, главный библиограф Отдела краеведческой и саамской литературы Н. Ю. Пантыкина.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2026-10-13T23:19:18+03:00</dcterms:created>
  <dcterms:modified xsi:type="dcterms:W3CDTF">2026-10-13T23:19:18+03:00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