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№3036 (Мурманск) от 17 октября 2011
</w:t>
      </w:r>
    </w:p>
    <w:p>
      <w:pPr/>
      <w:r>
        <w:rPr/>
        <w:t xml:space="preserve">Прионы. Общая характеристика. Биологическая роль.
Здравствуйте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52.64я73; П47 П47 Поздеев, О. К. Медицинская микробиология : учеб. пособие для вузов / О. К. Поздеев ; под ред. В. И. Покровского. - Изд. 4-е, стер. – М. : ГЭОТАР-Медиа, 2008. - 765 с. (1667103 - МЕД 1677221 – МЕД)
28.072я73; Б63 Биохимия : учебник [для студентов мед. вузов / Авдеева Л. В. и др.] ; под ред. Е. С. Северина. - 5-е изд. – М. : ГЭОТАР-Медиа, 2009. - 759 с.  (1677238 - МЕД)
Статьи
Завалишин, И. А. Прионные болезни человека / И. А. Завалишин, А. В. Переседова // Российский медицинский журнал. - 2002. - N 4. - С. 3-9.
Крындушкин, Д. С. Дрожжи как модель для изучения молекулярных основ возникновения прионов и амилоидов / Д. С. Крындушкин [и др.] // Российский физиологический журнал им. И. М. Сеченова. - 2004. - Т. 90, N 5. - С. 645-657.
Макаров, В. В. Ветеринарно-эпидемиологические аспекты прионных инфекций / В. В. Макаров // Вестник Российской Академии медицинских наук. - 2003. - N 1. - С. 35-40.
Медуницын, Н. В. Прионные болезни и проблемы безопасности медицинских биологических препаратов / Н. В. Медуницын // Эпидемиология и инфекционные болезни. - 2005. - N 4. - С. 4-6.
Муронец, В. И. Нобелевская премия получена - загадки остались: история открытия инфекционных прионов / В. И. Муронец, А. П. Плетень // Природа. - 2005. - N 4. - С. 43-47.
Прионные болезни: современный взгляд на проблему / Е. А. Коган [и др.] // Архив патологии. - 2002. - N 6. - С. 3-9.
Ройхель, В. М. Медленные болезни человека и животных, вызванные прионами / В. М. Ройхель // Природа. - 2002. - N 2. - С. 14-20.
С уважением,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2026-10-13T11:27:22+03:00</dcterms:created>
  <dcterms:modified xsi:type="dcterms:W3CDTF">2026-10-13T11:27:22+03:00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