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№3045 () от 18 октября 2011
</w:t>
      </w:r>
    </w:p>
    <w:p>
      <w:pPr/>
      <w:r>
        <w:rPr/>
        <w:t xml:space="preserve">Анализ технико-организационного уровня производства на примере предприятий рыбной отрасли России, Северного бассейна и Мурманской области.
Уважаемая Валентина, см. в Архиве выполненных справок «Виртуального библиографа» ответ на запрос N 3117. Аналитическую информацию по интересующей Вас теме можно найти на сайте Правительства Мурманской области в новостях Комитета рыбохозяйственного комплекса Мурманской области.
Дополнительную информацию Вы можете получить в отделе краеведческой и саамской литературы на 4-м этаже библиотеки.
С уважением, главный библиограф отдела краеведческой и саамской литературы Фролова Ольга Николаевна.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2026-10-13T10:38:14+03:00</dcterms:created>
  <dcterms:modified xsi:type="dcterms:W3CDTF">2026-10-13T10:38:14+03:00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