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№3536 () от 22 марта 2012
</w:t>
      </w:r>
    </w:p>
    <w:p>
      <w:pPr/>
      <w:r>
        <w:rPr/>
        <w:t xml:space="preserve">Помогите, пожалуйста, найти литературу по теме «Пантеизм в современном мире».
Здравствуйте, Алекс. Предлагаем следующие издания:
Книги
87.3(4) ; Б45 Беме, Я. Аврора, или Утренняя заря в восхождении/ Я. Беме. - СПб. : Азбука, 2000. - 410 с. (М-1595972 - ХР ; М-1595973 - ЧЗ)
87.2 ; К88 Кудрявцев-Платонов, В. Д. Философия религии / В. Д. Кудрявцев-Платонов. - М. : ФондИВ, 2008. - 573 с. (1678953 - ХР ; 1678954 - АБ)
Статьи 
Беляева, Н. В. Христианские и пантеистические мотивы в творчестве Михаила Тарковского / Н. В. Беляева // Религиоведение. - 2009. - N 4. - С. 171-177.
Перов, Ю. В. Постклассические основания романтической философии / Перов Ю. В., Аркан Ю. Л. // Философские науки. - 2004. - N 11. - С. 56-72.
 Электронные ресурсы (с текстами документов можно поработать в Залах каталогов и электронных ресурсов на 3-м этаже библиотеки)
Бондарева, Я. В. Русская религиозная философия между трансцендентизмом и пантеизмом / Я. В. Бондарева [Электронный ресурс] // Вестник Московского государственного областного университета. Сер.: Философские науки. - Электрон. дан. - 2011. - N 2. - С. 78-85. - Режим доступа : http://elibrary.ru/query_results.asp (22.03.2012).
Ксавьер, С. Сверхприродное бытие: бог и обожение в теологии св. Павла [Электронный ресурс] / Ксавьер Субири // Человек. – Электрон. дан. - 2000. – N 5. – С. 88-98. – Режим доступа: http://www.ebiblioteka.ru/browse (22.03.2012).
Селивановский, В. В. "Христианский пантеизм» нового мышления [Электронный ресурс] / В. В. Селивановский // Вестник Русской христианской гуманитарной академии. – Электрон. дан. - 2011. - N 2. - С. 20-32. – Режим доступа : http://elibrary.ru/query_results.asp (22.03.2012).
 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2026-10-12T09:05:02+03:00</dcterms:created>
  <dcterms:modified xsi:type="dcterms:W3CDTF">2026-10-12T09:05:02+03:00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