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№3792 () от 29 мая 2012
</w:t>
      </w:r>
    </w:p>
    <w:p>
      <w:pPr/>
      <w:r>
        <w:rPr/>
        <w:t xml:space="preserve">Для дипломной работы материалы на темы:"Организация работы с подростками и молодежью в системе молодежной политики Мурманской области","Основные направления молодежной политики Мурманской обл. в последние годы","История праздника "День молодежи" в России".
Уважаемая Алла Владимировна, предлагаем обратиться к вопросу N 3967. Ответ на 3-й вопрос см. в Архиве выполненных справок «Виртуального библиографа» под N 3970.
С уважением, главный библиограф отдела краеведения Фролова Ольга Николаевна.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2026-10-11T21:02:09+03:00</dcterms:created>
  <dcterms:modified xsi:type="dcterms:W3CDTF">2026-10-11T21:02:09+03:00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