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№4097 () от 14 октября 2012
</w:t>
      </w:r>
    </w:p>
    <w:p>
      <w:pPr/>
      <w:r>
        <w:rPr/>
        <w:t xml:space="preserve">Здравствуйте!Есть ли в наличие данная статья-Ожиганова Г.В. Диагностика и формирование креативности у детей в процессе учебной деятельности // Психологический журнал . – 2001. - №2. – С. 65.
&lt;BR&gt;Заранее благодарю.
&lt;BR&gt;
Здравствуйте, Александра. Интересующая Вас статья есть в фондах нашей библиотеки, как в печатном, так и в электронном виде:
Ожиганова, Г. В. Диагностика и формирование креативности у детей в процессе учебной деятельности / Г. В. Ожиганова // Психологический журнал. – 2001. - N 2. – С. 75-85 ; То же [Электронный ресурс]. - Режим доступа: http://dlib.eastview.com/sources/article.jsp?id=3684701, регламентир. (15.10.2012).
С печатной формой можно поработать в отделе периодических изданий на 2-м этаже библиотеки, с электронной - в залах каталогов или электронных ресурсов на 3-м этаже.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 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2026-10-11T06:45:25+03:00</dcterms:created>
  <dcterms:modified xsi:type="dcterms:W3CDTF">2026-10-11T06:45:25+03:00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