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№4256 () от 22 ноября 2012
</w:t>
      </w:r>
    </w:p>
    <w:p>
      <w:pPr/>
      <w:r>
        <w:rPr/>
        <w:t xml:space="preserve">Здравствуйте, для реферата необходима литература по теме: «Правление Эхнатона и значение его преобразований». Спасибо за помощь.
Здравствуйте, Светлана. Предлагаем Вам библиографический список:
Книги
63.3(0)3 ; В26 Вейгалл, А. Эхнатон. Фараон-вероотступник / А. Вейгалл ; [пер. с англ. С. Федорова]. - Москва : Центрполиграф, 2010. – 190 с. (1695564 – АБ ; 1700680 – АБ)
63.3(0)3 ; В27 Великовский, И. Эдип и Эхнатон / И. Великовский. - Ростов-на-Дону : Феникс, 1996. – 604 с. (1553759 – ХР) 
63.3(0)3 ; Ж22 Жак, К. Нефертити и Эхнатон : солнеч. чета / К. Жак. - Москва : Молодая гвардия, 2006. – 214 с. (1641032 – ХР) 
65.03(0) ; Э40 Экономическая история мира : в 6 т. - Москва : КноРус, 2008–    . 
Т. 1. - Из содерж.: Экономика Древнего Востока. - С. 27-135. (1679341 – ХР)
Статьи
Алфеева, В. А. Самый странный из фараонов / Алфеева В. А. // Вопросы истории. - 1968. - N 9. - C. 204-208. 
Голяндин, А. Эхнатон. Между светом и тьмой / А. Голяндин // Знание-сила. - 2006. - N 4. - С. 56-64.
Кандауров, О. Евангелие Эхнатона / О. Кандауров // Наука и религия. - 2012. - N 2. - С. 46-47.
Перепелкин, Ю. Я. Жрец царя во главе государства / Перепелкин, Ю.Я. // Вестник древней истории. - 1989. - N 3. - С. 4-28. 
Электронный ресурс (с текстом документа можно поработать в залах каталогов и электронных ресурсов на 3-м этаже библиотеки) 
Мисецкий, Е. В. Влияние египетской религии и культуры на картину мира ветхозаветного иудея [Электронный ресурс] / Мисецкий Е. В. // Контекст и рефлексия: философия о мире и человеке. – Электрон. дан. - 2012. - N 2/3. - С. 20-37. - Режим доступа: http://elibrary.ru, регламентир. (22.11.2012).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2026-10-10T23:35:16+03:00</dcterms:created>
  <dcterms:modified xsi:type="dcterms:W3CDTF">2026-10-10T23:35:16+03:00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