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№4266 (Североморск) от 23 ноября 2012
</w:t>
      </w:r>
    </w:p>
    <w:p>
      <w:pPr/>
      <w:r>
        <w:rPr/>
        <w:t xml:space="preserve">Почему герб п. Ловозеро имеет немецкую форму?
Уважаемая Людмила, к сожалению, на Ваш вопрос, почему для герба с. Ловозеро выбрана немецкая форма геральдического щита, ответа в наших источниках выявить не удалось.
С уважением, главный библиограф отдела краеведения Фролова О. Н.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2026-10-10T22:32:07+03:00</dcterms:created>
  <dcterms:modified xsi:type="dcterms:W3CDTF">2026-10-10T22:32:07+03:00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