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№4882 (Мурманск) от 18 мая 2013
</w:t>
      </w:r>
    </w:p>
    <w:p>
      <w:pPr/>
      <w:r>
        <w:rPr/>
        <w:t xml:space="preserve">Здравствуйте, не могли бы Вы помочь подобрать литературу по вопросу "Предложения по повышению привлекательности неиспользуемого федерального недвижимого имущества и вовлечению его в хозяйственный оборот"
Здравствуйте, Виктория.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выборочный список литературы общего характера:
Статьи
Аникин, А. С. Правовое регулирование аренды федеральной недвижимости / А. С. Аникин ; науч. консультант В. В. Зайцев // Закон и право. - 2009. - № 7. - С. 43-45.
Кузьминов, А. С. Правовое регулирование инвестиционной деятельности в отношении федерального недвижимого имущества / А. С. Кузьминов // Закон. - 2008. - № 3. - С. 42-52.
Шарапов, В. В. Инвестиции в федеральную недвижимость: новые правила / В. В. Шарапов // Право и экономика. - 2007. - № 12. - С. 20-23.
Электронные ресурсы (с текстами документов можно поработать в залах каталогов и электронных ресурсов на 3-м этаже библиотеки)
Зайков, Д. Е. О порядке сдачи в аренду объектов недвижимого имущества военных организаций [Электронный ресурс] / Зайков Д. Е. // Право в Вооруженных Силах. - Электрон. дан. - 2010. - № 9. - С. 9-12. - Режим доступа: СПС «КонсультантПлюс», регламентир. (20.05.2013).
Павлова, И. В. Определение ключевых компетенций повышения инвестиционной привлекательности промышленной недвижимости как этап инновационного развития предприятия [Электронный ресурс] / Павлова И. В. // Вестник Казанского технологического университета. - Электрон. дан. - 2012. - Т. 15, № 23. - С. 205-206. - Режим доступа: http://elibrary.ru/, регламентир. (20.05.2013).
Шилова, А. Л. Формирование экономической стратегии управления инвестиционной привлекательностью недвижимого имущества промышленных предприятий [Электронный ресурс] : на примере предприятий Тюм. обл. : дис. ... канд. экон. наук : 08.00.05 / Шилова Алена Львовна. - Электрон. дан. - Санкт-Петербург, 2007. - 161 с. - Режим доступа: http://sigla.rsl.ru, регламентир. (20.05.2013). 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2026-10-09T15:40:33+03:00</dcterms:created>
  <dcterms:modified xsi:type="dcterms:W3CDTF">2026-10-09T15:40:33+03:00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