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№532 () от 10 ноября 2008
</w:t>
      </w:r>
    </w:p>
    <w:p>
      <w:pPr/>
      <w:r>
        <w:rPr/>
        <w:t xml:space="preserve">Конкурсное комплектование библиотек
Здравствуйте, Ирина. Предлагаем статьи по теме Вашего запроса: 
Бородин, О. Торги и котировки как метод формирования фондов / Олег Бородин // Библиотека. - 2007. – N 6. - С. 16-26.
Митрофанова, А. В. Участники книжного рынка против конкурсного комплектования / А. В. Митрофанова, С. В. Фильчикова // Библиография. - 2007. - N 6. - С. 113-115.
Эйдемиллер, И. Применение конкурентных процедур на закупку книг: итоги интерактивного опроса / И. Эйдемиллер., С. Тихонова // Независимый библиотечный адвокат. - 2007. - N 6. - С. 29-47.
Кореняк, И. П. Обоснование нецелесообразности проведения тендера на закупку книг и документов на других носителях информации для библиотек / Кореняк И. П. // Библиотечный вестник Карелии : [сб.  материалов] / [сост. Бугнина И. К., Лапичкова В. П. ; отв. ред. Лапичкова В. П.]. - 2005. - вып. 16 (23). - С. 142-144.
Эйдемиллер, И. В. К вопросу о конкурсной процедуре (тендере) на закупку книг для текущего комплектования государственных библиотек / И. В. Эйдемиллер // Информационный бюллетень Российской библиотечной ассоциации. - 2005. - N 34. - С. 77-83. 
За более подробной информацией Вы можете обратиться в Зал каталогов или Научно-методический отдел библиотеки (3 этаж библиотеки).  
С уважением, гл.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2026-10-18T23:01:54+03:00</dcterms:created>
  <dcterms:modified xsi:type="dcterms:W3CDTF">2026-10-18T23:01:54+03:00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