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№5529 (Мурманск) от 21 декабря 2013
</w:t>
      </w:r>
    </w:p>
    <w:p>
      <w:pPr/>
      <w:r>
        <w:rPr/>
        <w:t xml:space="preserve">Здравствуйте, помогите, пожалуйста, подобрать литературу по теме: "Религиозные конфессии как фактор культурной политики России (на примере ислама)" . Спасибо.
Здравствуйте, Александра. Предлагаем Вам библиографический список:
Книги
86.380; Е72 Ермаков, И. А. Ислам в культуре России в очерках и образах / И. А. Ермаков. – Москва : Изд. сервис, 2001. - 507 с. : ил. - (Взаимовлияние культур). (1604968 - ХР-Обяз.экз. 1607467 - АБ)
86.38-12; И87 Ислам как фактор формирования российской государственности и культуры : антология / Рус. Христиан. гуманитар. акад. ; [сост., вступ. ст. И. В. Базиленко, О. А. Воднева]. - Санкт-Петербург : Изд-во Рус. христиан. гуманитар. акад., 2012. - 895 с. : ил. - (Русский Путь: pro et contra/ редкол.: Д. К. Бурлака (пред.) и др.). (1723540 - ХР)
86.380; М18 Малашенко, А. В. Ислам для России / А. Малашенко. – Москва : РОССПЭН : Моск. центр Карнеги, 2007. - 191 с., [4] л. цв. ил. (1653839 - ХР 1653840 - АБ)
86.29(2Рос); Р36 Религиозные практики в современной России : [сб. ст. / под ред. К. Русселе, А. Агажаняна]. – Москва : Новое изд-во, 2006. - 395 с. - (Новые материалы и исследования по истории русской культуры). (1647172 - ХР)
60.033.141; Р76 Россия в многообразии цивилизаций / [Н. П. Шмелев и др.] ; Рос. акад. наук, Ин-т Европы. – Москва : Весь мир, 2011. - 889 с. : ил. - (Старый Свет - новые времена / науч. рук. сер. Н. П. Шмелев). (1699895 - ХР 1703371 - АБ)
Статьи
О Межведомственном координационном совете по реализации плана мероприятий по апробации в 2009-2011 годах комплексного учебного курса для общеобразовательных учреждений "Основы религиозных культур и светской этики", включающего основы православной культуры, основы исламской культуры, основы буддийской культуры, основы иудейской культуры, основы мировых религиозных культур и основы светской этики, утвержденного распоряжением Правительства Российской Федерации от 29 октября 2009 г. № 1578-р : приказ Минобрнауки РФ от 24 нояб. 2009 г., № 667 // Вестник образования России. - 2010. - № 1. - С. 29-32.
Об апробации в 2010-2011 годах комплексного учебного курса для общеобразовательных учреждений "Основы религиозных культур и светской этики", включающего основы православной культуры, основы исламской культуры, основы буддийской культуры, основы иудейской культуры, основы мировых религиозных культур и основы светской этики : распоряжение Правительства РФ от 29 окт. 2009 г., № 1578-р // Вестник образования России. - 2010. - № 1. - С. 26-29.
Таранюк, Ж. П. Многоаспектный характер взаимодействия религии и политики / Ж. П. Таранюк // Власть. - 2010. - № 8. - С. 166-168.
Хабутдинов, А. Ю. Социально-культурная ситуация в Татарстане / А. Ю. Хабутдинов, М. М. Хабутдинова // Русская словесность. - 2006. - № 3. - С. 2-6.
Харисова, Л. А. Духовно-нравственные ценности ислама / Л. А. Харисова // Педагогика. - 2008. - № 9. - С. 72-78.
Электронные ресурсы (с текстами документов можно поработать в залах каталогов и электронных ресурсов на 3-м этаже библиотеки)
Рязанов, А. Этноконфессиональные отношения в современной России - интегратор или дезинтегратор? [Электронный ресурс] / Рязанов А. // Россия и мусульманский мир. - Электрон. дан. - 2008. - № 5. - С. 22-30. – Режим доступа: http://elibrary.ru, регламентир. (23.12.2013).
Хаджаров, М. Х. Социология конфессионально культурных отношений: толерантность как основа диалога религиозных сознаний [Электронный ресурс] / Хаджаров М. Х. // Вестник Оренбургского государственного университета. - Электрон. дан. - 2011. - № 7. - С. 144-151. – Режим доступа: http://elibrary.ru, регламентир. (23.12.2013).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2026-10-08T13:41:22+03:00</dcterms:created>
  <dcterms:modified xsi:type="dcterms:W3CDTF">2026-10-08T13:41:22+03:00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