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№569 () от 1 декабря 2008
</w:t>
      </w:r>
    </w:p>
    <w:p>
      <w:pPr/>
      <w:r>
        <w:rPr/>
        <w:t xml:space="preserve">Помогите, пожалуйста, подобрать литературу для написания курсовой работы  К. Маркс как мыслитель-универсал, культурно-историческое значение его наследия. Спасибо.
Здравствуйте, Алена. Предлагаем следующие издания по интересующему Вас вопросу:
87.3(4) ; Б-20 Баллаев, А. Б. Читая Маркса : [ист.-филос. очерки] / Андрей Баллаев. - М. : Праксис, 2004. – 285 с. (1625817 – ХР)
60.5 ; К-59 Козер, Л. А. Мастера социологической мысли : идеи в ист. и социал. контексте / Льюис А. Козер. - М. : Норма, 2006. - 513 с. (1640077 – ХР)
87.132М ; Н-31 Наследие К. Маркса и современность: [сб. ст.] / Мурм. гос. пед. ин-т. - Мурманск, 2000 -    . 
   Вып. 1. - 66 с. - (Настоятельность прошлого). (1589605 – ХР ; 1589606 – ХР)
87.132 ; У-37 Уин, Ф. Карл Маркс / Фрэнсис Уин. - М. : АСТ, 2003. – 428 с. (1618265 – ЧЗ ; 1620048 – АБ)
Статьи
Бузгалин, А. В. Марксизм: к критическому возрождению / А. В. Бузгалин // Свободная мысль. - 2008. - N 3. - С. 109-122.
Гобозов, И. А. Материалистическое понимание истории и современность / И. А. Гобозов // Философия и общество. - 2008. - N 2. - С. 5-21.
Любутин, К. Н. О философии Маркса, о философии Энгельса / К. Н. Любутин // Философия и общество. - 2004. - N 1. - С. 166-184.  
Мухачев, В. В. Вспоминая Маркса / В. В. Мухачев // Свободная мысль. - 2008. - N 3. - С. 95-108.
Тронев, К. П. О предмете и содержании первого отдела I тома "Капитал" К. Маркса / К. Тронев // Российский экономический журнал. - 2007. - N 9/10. - С. 62-97. 
Фурс, В. Н. Рецепция идей Маркса в современной критической теории / В. Н. Фурс // Общественные науки и современность. - 2002. - N 5. - С. 115-130.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2026-10-18T21:20:07+03:00</dcterms:created>
  <dcterms:modified xsi:type="dcterms:W3CDTF">2026-10-18T21:20:07+03:00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