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№6471 (Мурманск) от 30 октября 2014
</w:t>
      </w:r>
    </w:p>
    <w:p>
      <w:pPr/>
      <w:r>
        <w:rPr/>
        <w:t xml:space="preserve">Особенности тотемизма как ранней формы религии.
Здравствуйте, Игорь. Предлагаем Вам библиографический список:
Книги
81.41 ; Д63 Докирилловская славянская письменность и дохристианская славянская культура : материалы IV междунар. конгр., 24-26 мая 2011 г. : [сборник : в 2 т.]. - Москва : Белые альвы, 2012.  Т. 2. - 406 с. (1728616 – ХР) 
86.2 ; Д79 Дубровская, О. Н. Древние религии мира  / О. Дубровская. - Москва : РИПОЛ классик, 2003. – 445 с. (1635856 – АБ)
902.7 ; З-81 Золотарев, А. Пережитки тотемизма у народов Сибири / А. Золотарев. - Ленинград : Изд-во ин-та народов Севера ЦИК СССР, 1934. - 52 с. (865001 – ХР) 
83.3(2=Рус)6кр ; М31 VIII Масловские чтения : сб. науч. ст. : [в 2 ч. / редкол.: Н. Г. Благова (науч. ред.), П. В. Федоров (отв. сост.). - Мурманск : МГПУ, 2010.  Ч. 1. - С. 46-50. – Из содерж.: Религиозная лексика Кильдинского диалекта саамского языка / В. Б. Бакула (1701656 - ХР-ООЭ ; 1701657 - ХР-ООЭ) 
86.3 ; Т51 Токарев, С. А. Ранние формы религии и их развитие / С. А. Токарев. - Москва : URSS : Кн. дом "ЛИБРОКОМ", 2011. – 397 с. (1707788 – АБ)
Статьи
Фортес, М. Тотем и табу / М. Фортес // Личность. Культура. Общество. - 2012. - Т. 14, № 73/74, вып. 3. - С. 48-70.
Фортес, М. О церемониях возведения в должность / М. Фортес // Личность. Культура. Общество. - 2012. - Т. 14, № 75/76, вып. 4. - С. 43-56.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2026-10-07T00:08:43+03:00</dcterms:created>
  <dcterms:modified xsi:type="dcterms:W3CDTF">2026-10-07T00:08:43+03:00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