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№6596 (Томская область) от 27 ноября 2014
</w:t>
      </w:r>
    </w:p>
    <w:p>
      <w:pPr/>
      <w:r>
        <w:rPr/>
        <w:t xml:space="preserve">3. Shepelev S.S., Gesser H.D. and Hunter N.R., Plasma Chem. &amp; Plasma Proc. 13 (1993) 479-488.
4. Eliasson B., Kogelschatz U., Xue B. and Zhou L.M., "Application of dielectric barrier discharges to the decomposition and utilisation of greenhouse gases", Plasma Chemistry (ISPC-13), Beijing, Aug. 18 - 22, 1997, C.K.Wu Ed. (Peking University Press) Vol. IV, 1784-1789.
5. Eliasson B., C02 Chemistry: An Option for C02 Emission Control ? in Carbon Dioxide Chemistry: Environmental Issues, J. Paul and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третьей интересующей Вас статьи.  
Предлагаем ее библиографическое описание:
Shepelev, S. S. Light paraffin oxidative conversion in a silent electric discharge / S. S. Shepelev, H. D. Gesser, N. R. Hunter // Plasma Chemistry and Plasma Processing. - 1993. – Vol. 13, № 3. – P. 479-488.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2026-10-05T17:12:38+03:00</dcterms:created>
  <dcterms:modified xsi:type="dcterms:W3CDTF">2026-10-05T17:12:38+03:00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