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№6600 (Томская область) от 28 ноября 2014
</w:t>
      </w:r>
    </w:p>
    <w:p>
      <w:pPr/>
      <w:r>
        <w:rPr/>
        <w:t xml:space="preserve">5. Eliasson B., C02 Chemistry: An Option for C02 Emission Control ? in Carbon Dioxide Chemistry: Environmental Issues, J. Paul and
Здравствуйте, Михаил. К сожалению, в фондах нашей библиотеки нет интересующей Вас статьи.
С уважением,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2026-10-05T17:13:10+03:00</dcterms:created>
  <dcterms:modified xsi:type="dcterms:W3CDTF">2026-10-05T17:13:10+03:00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