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№676 () от 5 февраля 2009
</w:t>
      </w:r>
    </w:p>
    <w:p>
      <w:pPr/>
      <w:r>
        <w:rPr/>
        <w:t xml:space="preserve">Правила перевода фразеологических единиц на базе произведений Woodhouse
Здравствуйте, Литвинова Алена.
Уточните, пожалуйста, свой вопрос. Кого Вы имели ввиду? Английского писателя Пелема Гренвилла Вудхауза или австралийскую поэтессу Дж. Вудхауз?
С уважением, библиографы МГОУНБ.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2026-10-18T16:16:58+03:00</dcterms:created>
  <dcterms:modified xsi:type="dcterms:W3CDTF">2026-10-18T16:16:58+03:00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